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2407A4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1C7BCB">
        <w:rPr>
          <w:rFonts w:ascii="GHEA Grapalat" w:hAnsi="GHEA Grapalat"/>
          <w:color w:val="000000" w:themeColor="text1"/>
          <w:sz w:val="22"/>
          <w:szCs w:val="22"/>
          <w:lang w:val="hy-AM"/>
        </w:rPr>
        <w:t>-Մ1-3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1C7BCB">
        <w:rPr>
          <w:rFonts w:ascii="GHEA Grapalat" w:hAnsi="GHEA Grapalat"/>
          <w:color w:val="000000" w:themeColor="text1"/>
          <w:sz w:val="22"/>
          <w:szCs w:val="22"/>
          <w:lang w:val="hy-AM"/>
        </w:rPr>
        <w:t>-Մ1-3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EA10E9">
        <w:rPr>
          <w:rFonts w:ascii="GHEA Grapalat" w:eastAsia="Calibri" w:hAnsi="GHEA Grapalat"/>
          <w:b/>
          <w:i/>
          <w:sz w:val="22"/>
          <w:szCs w:val="22"/>
          <w:lang w:val="hy-AM"/>
        </w:rPr>
        <w:t>սեպտեմբերի 6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EA10E9">
        <w:rPr>
          <w:rFonts w:ascii="GHEA Grapalat" w:eastAsia="Calibri" w:hAnsi="GHEA Grapalat"/>
          <w:b/>
          <w:i/>
          <w:sz w:val="22"/>
          <w:szCs w:val="22"/>
          <w:lang w:val="hy-AM"/>
        </w:rPr>
        <w:t>սեպտեմբերի 12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B338FB">
        <w:rPr>
          <w:rFonts w:ascii="GHEA Grapalat" w:hAnsi="GHEA Grapalat"/>
          <w:b/>
          <w:i/>
          <w:sz w:val="22"/>
          <w:szCs w:val="22"/>
          <w:lang w:val="hy-AM"/>
        </w:rPr>
        <w:t>հոկտեմբերի 9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EC7C21" w:rsidRDefault="002345BC" w:rsidP="00EC7C21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B338FB">
        <w:rPr>
          <w:rFonts w:ascii="GHEA Grapalat" w:hAnsi="GHEA Grapalat"/>
          <w:b/>
          <w:i/>
          <w:sz w:val="22"/>
          <w:szCs w:val="22"/>
          <w:lang w:val="hy-AM"/>
        </w:rPr>
        <w:t>հոկտեմբերի 11</w:t>
      </w:r>
      <w:bookmarkStart w:id="0" w:name="_GoBack"/>
      <w:bookmarkEnd w:id="0"/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EC7C21">
        <w:rPr>
          <w:rFonts w:ascii="GHEA Grapalat" w:hAnsi="GHEA Grapalat" w:cs="Arial"/>
          <w:sz w:val="22"/>
          <w:szCs w:val="22"/>
          <w:lang w:val="hy-AM"/>
        </w:rPr>
        <w:t>,</w:t>
      </w:r>
      <w:r w:rsidR="00EC7C21" w:rsidRPr="00EC7C21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EC7C21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EC7C21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262E2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9262E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9262E2" w:rsidRPr="009262E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A16584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1658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A16584" w:rsidRPr="00A1658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056CE1" w:rsidRPr="00B66F68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EA164E" w:rsidRPr="00E371DB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EA164E" w:rsidRPr="00EA164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https://www.arlis.am/DocumentView.aspx?DocID=194992</w:t>
        </w:r>
      </w:hyperlink>
    </w:p>
    <w:p w:rsidR="003F502F" w:rsidRPr="00152FE5" w:rsidRDefault="003F502F" w:rsidP="003F502F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«Գանձապետական համակարգի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3A7257" w:rsidRPr="003A7257" w:rsidRDefault="003F502F" w:rsidP="003A7257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8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</w:p>
    <w:p w:rsidR="003F502F" w:rsidRPr="00152FE5" w:rsidRDefault="003F502F" w:rsidP="003A7257">
      <w:pPr>
        <w:spacing w:line="276" w:lineRule="auto"/>
        <w:ind w:right="-255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3A725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3, 4, 5, 6,  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7</w:t>
      </w:r>
    </w:p>
    <w:p w:rsidR="003A7257" w:rsidRPr="003A7257" w:rsidRDefault="003F502F" w:rsidP="003F502F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9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E12CCB" w:rsidRDefault="003F502F" w:rsidP="003F502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</w:t>
      </w:r>
      <w:r w:rsidR="00E12CCB" w:rsidRPr="00E12CCB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227, 228, 231, 233,  335-338, 384-387, 397, 400, 401-407, 415</w:t>
      </w:r>
    </w:p>
    <w:p w:rsidR="00EA164E" w:rsidRDefault="003F502F" w:rsidP="003F502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="003A7257" w:rsidRPr="003A7257">
        <w:rPr>
          <w:lang w:val="hy-AM"/>
        </w:rPr>
        <w:t xml:space="preserve"> </w:t>
      </w:r>
      <w:hyperlink r:id="rId20" w:history="1">
        <w:r w:rsidR="00BE69A0" w:rsidRPr="001366F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https://www.arlis.am/DocumentView.aspx?DocID=196879</w:t>
        </w:r>
      </w:hyperlink>
    </w:p>
    <w:p w:rsidR="003F502F" w:rsidRPr="00152FE5" w:rsidRDefault="003F502F" w:rsidP="003F502F">
      <w:pPr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4A3929" w:rsidRPr="00CC4A70" w:rsidRDefault="003F502F" w:rsidP="004A3929">
      <w:pPr>
        <w:contextualSpacing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https://www.arlis.am/DocumentView.aspx?docid=150887</w:t>
        </w:r>
      </w:hyperlink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B39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B3975">
      <w:pPr>
        <w:spacing w:line="276" w:lineRule="auto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003C11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lastRenderedPageBreak/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0EC9"/>
    <w:rsid w:val="00003C11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72DB5"/>
    <w:rsid w:val="00076C74"/>
    <w:rsid w:val="000812FE"/>
    <w:rsid w:val="000841E4"/>
    <w:rsid w:val="000D2B30"/>
    <w:rsid w:val="000D3F96"/>
    <w:rsid w:val="000E4E19"/>
    <w:rsid w:val="000E65FE"/>
    <w:rsid w:val="000E726E"/>
    <w:rsid w:val="000F1051"/>
    <w:rsid w:val="000F6156"/>
    <w:rsid w:val="00102A73"/>
    <w:rsid w:val="00106068"/>
    <w:rsid w:val="0011181D"/>
    <w:rsid w:val="001306A2"/>
    <w:rsid w:val="001417FE"/>
    <w:rsid w:val="001433E8"/>
    <w:rsid w:val="001500A6"/>
    <w:rsid w:val="001567CD"/>
    <w:rsid w:val="00185889"/>
    <w:rsid w:val="00185C82"/>
    <w:rsid w:val="001869DF"/>
    <w:rsid w:val="00187E1C"/>
    <w:rsid w:val="001C4BF5"/>
    <w:rsid w:val="001C7BCB"/>
    <w:rsid w:val="001D1AC8"/>
    <w:rsid w:val="001E027D"/>
    <w:rsid w:val="001E4BAC"/>
    <w:rsid w:val="001F390C"/>
    <w:rsid w:val="0021453E"/>
    <w:rsid w:val="00222730"/>
    <w:rsid w:val="002345BC"/>
    <w:rsid w:val="00237875"/>
    <w:rsid w:val="002407A4"/>
    <w:rsid w:val="002409E8"/>
    <w:rsid w:val="0028023A"/>
    <w:rsid w:val="002B0023"/>
    <w:rsid w:val="002B3975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972EC"/>
    <w:rsid w:val="003A7257"/>
    <w:rsid w:val="003B4902"/>
    <w:rsid w:val="003C03E7"/>
    <w:rsid w:val="003C07C7"/>
    <w:rsid w:val="003C094B"/>
    <w:rsid w:val="003F502F"/>
    <w:rsid w:val="003F6C06"/>
    <w:rsid w:val="00413F6C"/>
    <w:rsid w:val="0041785F"/>
    <w:rsid w:val="00424E1C"/>
    <w:rsid w:val="00434AD2"/>
    <w:rsid w:val="0043539D"/>
    <w:rsid w:val="004542F5"/>
    <w:rsid w:val="00454E20"/>
    <w:rsid w:val="0046248B"/>
    <w:rsid w:val="004951CA"/>
    <w:rsid w:val="004A3929"/>
    <w:rsid w:val="004D5E74"/>
    <w:rsid w:val="0050302D"/>
    <w:rsid w:val="005147A7"/>
    <w:rsid w:val="00523723"/>
    <w:rsid w:val="00530B97"/>
    <w:rsid w:val="005361A2"/>
    <w:rsid w:val="00541DDE"/>
    <w:rsid w:val="00553255"/>
    <w:rsid w:val="00556734"/>
    <w:rsid w:val="00590270"/>
    <w:rsid w:val="005909F9"/>
    <w:rsid w:val="00593D54"/>
    <w:rsid w:val="005A136C"/>
    <w:rsid w:val="005A3177"/>
    <w:rsid w:val="005B3683"/>
    <w:rsid w:val="005B4DC6"/>
    <w:rsid w:val="005C2B4B"/>
    <w:rsid w:val="005F07B4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6D6827"/>
    <w:rsid w:val="00724B1D"/>
    <w:rsid w:val="00732136"/>
    <w:rsid w:val="00745EA0"/>
    <w:rsid w:val="0076068B"/>
    <w:rsid w:val="00784CD7"/>
    <w:rsid w:val="007B5A72"/>
    <w:rsid w:val="007C7B9E"/>
    <w:rsid w:val="007E5BE0"/>
    <w:rsid w:val="007F2722"/>
    <w:rsid w:val="00807D1F"/>
    <w:rsid w:val="00815550"/>
    <w:rsid w:val="008276DF"/>
    <w:rsid w:val="00827901"/>
    <w:rsid w:val="00842CAE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117F"/>
    <w:rsid w:val="009262E2"/>
    <w:rsid w:val="00932A23"/>
    <w:rsid w:val="0094372B"/>
    <w:rsid w:val="00946F48"/>
    <w:rsid w:val="00961FC2"/>
    <w:rsid w:val="0099313C"/>
    <w:rsid w:val="009A3F43"/>
    <w:rsid w:val="009B7462"/>
    <w:rsid w:val="009C1EBA"/>
    <w:rsid w:val="009E3E70"/>
    <w:rsid w:val="009E6AFD"/>
    <w:rsid w:val="009E7A41"/>
    <w:rsid w:val="009F13BB"/>
    <w:rsid w:val="009F15B5"/>
    <w:rsid w:val="009F6FC6"/>
    <w:rsid w:val="009F782D"/>
    <w:rsid w:val="00A039C3"/>
    <w:rsid w:val="00A05BF0"/>
    <w:rsid w:val="00A16584"/>
    <w:rsid w:val="00A45D8E"/>
    <w:rsid w:val="00A501DD"/>
    <w:rsid w:val="00A7479F"/>
    <w:rsid w:val="00A9728F"/>
    <w:rsid w:val="00AA3434"/>
    <w:rsid w:val="00AD6000"/>
    <w:rsid w:val="00AF23E6"/>
    <w:rsid w:val="00AF5B0C"/>
    <w:rsid w:val="00B045F2"/>
    <w:rsid w:val="00B250D8"/>
    <w:rsid w:val="00B338FB"/>
    <w:rsid w:val="00B438F6"/>
    <w:rsid w:val="00B463B4"/>
    <w:rsid w:val="00B66F68"/>
    <w:rsid w:val="00B73669"/>
    <w:rsid w:val="00B80550"/>
    <w:rsid w:val="00B911D9"/>
    <w:rsid w:val="00B927DA"/>
    <w:rsid w:val="00B956D6"/>
    <w:rsid w:val="00BA2A29"/>
    <w:rsid w:val="00BB5AFA"/>
    <w:rsid w:val="00BE69A0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843A3"/>
    <w:rsid w:val="00C914FB"/>
    <w:rsid w:val="00CA2F77"/>
    <w:rsid w:val="00CB6407"/>
    <w:rsid w:val="00CC4A70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902E8"/>
    <w:rsid w:val="00D9742F"/>
    <w:rsid w:val="00DA4F69"/>
    <w:rsid w:val="00DB25BD"/>
    <w:rsid w:val="00DD61E1"/>
    <w:rsid w:val="00DE3592"/>
    <w:rsid w:val="00DE4077"/>
    <w:rsid w:val="00DF1392"/>
    <w:rsid w:val="00E12CCB"/>
    <w:rsid w:val="00E13CE7"/>
    <w:rsid w:val="00E17240"/>
    <w:rsid w:val="00E24C54"/>
    <w:rsid w:val="00E24DFA"/>
    <w:rsid w:val="00E2702F"/>
    <w:rsid w:val="00E371DB"/>
    <w:rsid w:val="00E464D0"/>
    <w:rsid w:val="00E5521F"/>
    <w:rsid w:val="00E722A2"/>
    <w:rsid w:val="00E725A4"/>
    <w:rsid w:val="00E74FF8"/>
    <w:rsid w:val="00E76A87"/>
    <w:rsid w:val="00E857E3"/>
    <w:rsid w:val="00EA10E9"/>
    <w:rsid w:val="00EA164E"/>
    <w:rsid w:val="00EA4272"/>
    <w:rsid w:val="00EC7C21"/>
    <w:rsid w:val="00ED2A7E"/>
    <w:rsid w:val="00ED67DA"/>
    <w:rsid w:val="00EE1194"/>
    <w:rsid w:val="00EE1DDA"/>
    <w:rsid w:val="00EE67D5"/>
    <w:rsid w:val="00EF63D6"/>
    <w:rsid w:val="00EF754A"/>
    <w:rsid w:val="00F11EFD"/>
    <w:rsid w:val="00F13AE3"/>
    <w:rsid w:val="00F154CB"/>
    <w:rsid w:val="00F17EF1"/>
    <w:rsid w:val="00F22BF6"/>
    <w:rsid w:val="00F50A31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170553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5088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arlis.am/DocumentView.aspx?DocID=194992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19687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85457-280B-458D-833D-551B415F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1679</Words>
  <Characters>9575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140</cp:revision>
  <cp:lastPrinted>2024-04-12T11:05:00Z</cp:lastPrinted>
  <dcterms:created xsi:type="dcterms:W3CDTF">2023-05-16T06:15:00Z</dcterms:created>
  <dcterms:modified xsi:type="dcterms:W3CDTF">2024-09-06T10:22:00Z</dcterms:modified>
</cp:coreProperties>
</file>