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418800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8C6BE8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72B6CD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2E6BCB">
        <w:rPr>
          <w:rFonts w:ascii="GHEA Grapalat" w:eastAsia="Calibri" w:hAnsi="GHEA Grapalat"/>
          <w:b/>
          <w:i/>
          <w:color w:val="000000" w:themeColor="text1"/>
          <w:sz w:val="24"/>
          <w:szCs w:val="24"/>
          <w:lang w:val="hy-AM"/>
        </w:rPr>
        <w:t>օգոստոսի 25</w:t>
      </w:r>
      <w:r w:rsidRPr="005C4454">
        <w:rPr>
          <w:rFonts w:ascii="GHEA Grapalat" w:eastAsia="Calibri" w:hAnsi="GHEA Grapalat"/>
          <w:b/>
          <w:i/>
          <w:color w:val="000000" w:themeColor="text1"/>
          <w:sz w:val="24"/>
          <w:szCs w:val="24"/>
          <w:lang w:val="hy-AM"/>
        </w:rPr>
        <w:t xml:space="preserve">-ից մինչև 2025 թվականի </w:t>
      </w:r>
      <w:r w:rsidR="002E6BCB">
        <w:rPr>
          <w:rFonts w:ascii="GHEA Grapalat" w:eastAsia="Calibri" w:hAnsi="GHEA Grapalat"/>
          <w:b/>
          <w:i/>
          <w:color w:val="000000" w:themeColor="text1"/>
          <w:sz w:val="24"/>
          <w:szCs w:val="24"/>
          <w:lang w:val="hy-AM"/>
        </w:rPr>
        <w:t>սեպտեմբերի 1</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A3ADB3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2E6BCB">
        <w:rPr>
          <w:rFonts w:ascii="GHEA Grapalat" w:eastAsia="Calibri" w:hAnsi="GHEA Grapalat"/>
          <w:b/>
          <w:i/>
          <w:color w:val="000000" w:themeColor="text1"/>
          <w:sz w:val="24"/>
          <w:szCs w:val="24"/>
          <w:lang w:val="hy-AM"/>
        </w:rPr>
        <w:t xml:space="preserve">սեպտեմբերի </w:t>
      </w:r>
      <w:r w:rsidR="002E6BCB">
        <w:rPr>
          <w:rFonts w:ascii="GHEA Grapalat" w:eastAsia="Calibri" w:hAnsi="GHEA Grapalat"/>
          <w:b/>
          <w:i/>
          <w:color w:val="000000" w:themeColor="text1"/>
          <w:sz w:val="24"/>
          <w:szCs w:val="24"/>
          <w:lang w:val="hy-AM"/>
        </w:rPr>
        <w:t>25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ADE5212"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2E6BCB">
        <w:rPr>
          <w:rFonts w:ascii="GHEA Grapalat" w:eastAsia="Calibri" w:hAnsi="GHEA Grapalat"/>
          <w:b/>
          <w:i/>
          <w:color w:val="000000" w:themeColor="text1"/>
          <w:sz w:val="24"/>
          <w:szCs w:val="24"/>
          <w:lang w:val="hy-AM"/>
        </w:rPr>
        <w:t>սեպտեմբերի 2</w:t>
      </w:r>
      <w:r w:rsidR="002E6BCB">
        <w:rPr>
          <w:rFonts w:ascii="GHEA Grapalat" w:eastAsia="Calibri" w:hAnsi="GHEA Grapalat"/>
          <w:b/>
          <w:i/>
          <w:color w:val="000000" w:themeColor="text1"/>
          <w:sz w:val="24"/>
          <w:szCs w:val="24"/>
          <w:lang w:val="hy-AM"/>
        </w:rPr>
        <w:t>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3F6C5EE1" w14:textId="1E4CF3EF"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7" w:history="1">
        <w:r w:rsidR="000B6A3E" w:rsidRPr="00885F18">
          <w:rPr>
            <w:rStyle w:val="ac"/>
            <w:rFonts w:ascii="GHEA Grapalat" w:hAnsi="GHEA Grapalat" w:cs="Arial"/>
            <w:sz w:val="24"/>
            <w:szCs w:val="24"/>
            <w:lang w:val="hy-AM"/>
          </w:rPr>
          <w:t>https://www.arlis.am/hy/acts/143723</w:t>
        </w:r>
      </w:hyperlink>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33A7721E" w14:textId="1829550C"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«Պետական վերահսկողական ծառայության մասին»  օրենք. հոդվածներ՝ 1, 2, 3, 4, 5, 6, 7, 8, 9, 10</w:t>
      </w:r>
    </w:p>
    <w:p w14:paraId="4D069828" w14:textId="1F591BB9"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8" w:history="1">
        <w:r w:rsidR="00987C2A" w:rsidRPr="00987C2A">
          <w:rPr>
            <w:rStyle w:val="ac"/>
            <w:rFonts w:ascii="GHEA Grapalat" w:hAnsi="GHEA Grapalat"/>
            <w:sz w:val="24"/>
            <w:szCs w:val="24"/>
            <w:lang w:val="hy-AM"/>
          </w:rPr>
          <w:t>https://www.arlis.am/hy/acts/208787/latest</w:t>
        </w:r>
      </w:hyperlink>
    </w:p>
    <w:p w14:paraId="596CB588" w14:textId="77777777" w:rsidR="00EB0621"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«Գնումների մասին»  օրենք. հոդվածներ՝ </w:t>
      </w:r>
      <w:r w:rsidR="00EB0621" w:rsidRPr="00EB0621">
        <w:rPr>
          <w:rFonts w:ascii="GHEA Grapalat" w:hAnsi="GHEA Grapalat" w:cs="Arial"/>
          <w:sz w:val="24"/>
          <w:szCs w:val="24"/>
          <w:lang w:val="hy-AM"/>
        </w:rPr>
        <w:t>5, 6, 7, 9, 11, 13, 16, 18,19, 21, 22, 23, 25, 26, 29, 33, 34, 36, 37, 40, 43, 46</w:t>
      </w:r>
    </w:p>
    <w:p w14:paraId="11079A95" w14:textId="3043C3D8"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9" w:history="1">
        <w:r w:rsidR="00987C2A" w:rsidRPr="00987C2A">
          <w:rPr>
            <w:rStyle w:val="ac"/>
            <w:rFonts w:ascii="GHEA Grapalat" w:hAnsi="GHEA Grapalat"/>
            <w:sz w:val="24"/>
            <w:szCs w:val="24"/>
            <w:lang w:val="hy-AM"/>
          </w:rPr>
          <w:t>https://www.arlis.am/hy/acts/165080</w:t>
        </w:r>
      </w:hyperlink>
    </w:p>
    <w:p w14:paraId="0BF05F0F" w14:textId="20488283"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w:t>
      </w:r>
      <w:r w:rsidR="004E151E">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sidR="00AA4953">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sidR="00CB302C">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4BB8B3D3" w14:textId="2DCF4BAE"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20" w:history="1">
        <w:r w:rsidR="00987C2A" w:rsidRPr="00987C2A">
          <w:rPr>
            <w:rStyle w:val="ac"/>
            <w:rFonts w:ascii="GHEA Grapalat" w:hAnsi="GHEA Grapalat"/>
            <w:sz w:val="24"/>
            <w:szCs w:val="24"/>
            <w:lang w:val="hy-AM"/>
          </w:rPr>
          <w:t>https://www.arlis.am/hy/acts/187324</w:t>
        </w:r>
      </w:hyperlink>
    </w:p>
    <w:p w14:paraId="5F3F6D12" w14:textId="1DF15924"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«Սոցիալական աջակցության մասին» օրենք. հոդվածներ՝ 2,</w:t>
      </w:r>
      <w:r w:rsidR="00CB302C">
        <w:rPr>
          <w:rFonts w:ascii="GHEA Grapalat" w:hAnsi="GHEA Grapalat" w:cs="Arial"/>
          <w:sz w:val="24"/>
          <w:szCs w:val="24"/>
          <w:lang w:val="hy-AM"/>
        </w:rPr>
        <w:t xml:space="preserve"> 3, </w:t>
      </w:r>
      <w:r w:rsidRPr="00BE1172">
        <w:rPr>
          <w:rFonts w:ascii="GHEA Grapalat" w:hAnsi="GHEA Grapalat" w:cs="Arial"/>
          <w:sz w:val="24"/>
          <w:szCs w:val="24"/>
          <w:lang w:val="hy-AM"/>
        </w:rPr>
        <w:t xml:space="preserve">4, 5, 6, 8, 9, 10, 11, 13, 14, 17, 20, 27, 32, 38, </w:t>
      </w:r>
      <w:r w:rsidR="00CB302C">
        <w:rPr>
          <w:rFonts w:ascii="GHEA Grapalat" w:hAnsi="GHEA Grapalat" w:cs="Arial"/>
          <w:sz w:val="24"/>
          <w:szCs w:val="24"/>
          <w:lang w:val="hy-AM"/>
        </w:rPr>
        <w:t>52, 54, 56, 58</w:t>
      </w:r>
    </w:p>
    <w:p w14:paraId="054D0789" w14:textId="0A3B37A1" w:rsidR="00A21564" w:rsidRDefault="00BE1172" w:rsidP="00BE1172">
      <w:pPr>
        <w:jc w:val="both"/>
        <w:rPr>
          <w:rFonts w:ascii="GHEA Grapalat" w:hAnsi="GHEA Grapalat"/>
          <w:lang w:val="hy-AM"/>
        </w:rPr>
      </w:pPr>
      <w:r w:rsidRPr="00BE1172">
        <w:rPr>
          <w:rFonts w:ascii="GHEA Grapalat" w:hAnsi="GHEA Grapalat" w:cs="Arial"/>
          <w:sz w:val="24"/>
          <w:szCs w:val="24"/>
          <w:lang w:val="hy-AM"/>
        </w:rPr>
        <w:t xml:space="preserve">հղումը՝ </w:t>
      </w:r>
      <w:hyperlink r:id="rId21" w:history="1">
        <w:r w:rsidR="00A21564" w:rsidRPr="00A21564">
          <w:rPr>
            <w:rStyle w:val="ac"/>
            <w:rFonts w:ascii="GHEA Grapalat" w:hAnsi="GHEA Grapalat"/>
            <w:sz w:val="24"/>
            <w:szCs w:val="24"/>
            <w:lang w:val="hy-AM"/>
          </w:rPr>
          <w:t>https://www.arlis.am/hy/acts/199657/latest</w:t>
        </w:r>
      </w:hyperlink>
      <w:r w:rsidR="00A21564" w:rsidRPr="00A21564">
        <w:rPr>
          <w:rFonts w:ascii="GHEA Grapalat" w:hAnsi="GHEA Grapalat"/>
          <w:sz w:val="24"/>
          <w:szCs w:val="24"/>
          <w:lang w:val="hy-AM"/>
        </w:rPr>
        <w:t xml:space="preserve"> </w:t>
      </w:r>
    </w:p>
    <w:p w14:paraId="454A2001" w14:textId="77777777" w:rsidR="00A21564" w:rsidRPr="00A21564" w:rsidRDefault="00A21564" w:rsidP="00BE1172">
      <w:pPr>
        <w:jc w:val="both"/>
        <w:rPr>
          <w:lang w:val="hy-AM"/>
        </w:rPr>
      </w:pPr>
    </w:p>
    <w:p w14:paraId="2D6A3070" w14:textId="7726C98A"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«Կրթության մասին»  օրենք. հոդվածներ՝ 3, 6, 10, 12, 13, 14, 24, 26, 27, 28, 29, </w:t>
      </w:r>
      <w:r w:rsidR="00B14D3E">
        <w:rPr>
          <w:rFonts w:ascii="GHEA Grapalat" w:hAnsi="GHEA Grapalat" w:cs="Arial"/>
          <w:sz w:val="24"/>
          <w:szCs w:val="24"/>
          <w:lang w:val="hy-AM"/>
        </w:rPr>
        <w:t xml:space="preserve">36,37, </w:t>
      </w:r>
      <w:r w:rsidRPr="00BE1172">
        <w:rPr>
          <w:rFonts w:ascii="GHEA Grapalat" w:hAnsi="GHEA Grapalat" w:cs="Arial"/>
          <w:sz w:val="24"/>
          <w:szCs w:val="24"/>
          <w:lang w:val="hy-AM"/>
        </w:rPr>
        <w:t xml:space="preserve">40, 42, 44, 45, </w:t>
      </w:r>
    </w:p>
    <w:p w14:paraId="125F1E56" w14:textId="394E0D4B" w:rsidR="003307D5" w:rsidRPr="003307D5" w:rsidRDefault="00BE1172" w:rsidP="00BE1172">
      <w:pPr>
        <w:jc w:val="both"/>
        <w:rPr>
          <w:lang w:val="hy-AM"/>
        </w:rPr>
      </w:pPr>
      <w:r w:rsidRPr="00BE1172">
        <w:rPr>
          <w:rFonts w:ascii="GHEA Grapalat" w:hAnsi="GHEA Grapalat" w:cs="Arial"/>
          <w:sz w:val="24"/>
          <w:szCs w:val="24"/>
          <w:lang w:val="hy-AM"/>
        </w:rPr>
        <w:t xml:space="preserve">հղումը՝ </w:t>
      </w:r>
      <w:hyperlink r:id="rId22" w:history="1">
        <w:r w:rsidR="003307D5" w:rsidRPr="003307D5">
          <w:rPr>
            <w:rStyle w:val="ac"/>
            <w:rFonts w:ascii="GHEA Grapalat" w:hAnsi="GHEA Grapalat"/>
            <w:sz w:val="24"/>
            <w:szCs w:val="24"/>
            <w:lang w:val="hy-AM"/>
          </w:rPr>
          <w:t>https://www.arlis.am/hy/acts/207632</w:t>
        </w:r>
      </w:hyperlink>
    </w:p>
    <w:p w14:paraId="374DC766" w14:textId="7BA8F3A7"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«Բնակչության բժշկական օգնության և սպասարկման մասին»  օրենք. հոդվածներ՝ 2, 3, 7, 11, 12, 28, </w:t>
      </w:r>
      <w:r w:rsidR="00B14D3E">
        <w:rPr>
          <w:rFonts w:ascii="GHEA Grapalat" w:hAnsi="GHEA Grapalat" w:cs="Arial"/>
          <w:sz w:val="24"/>
          <w:szCs w:val="24"/>
          <w:lang w:val="hy-AM"/>
        </w:rPr>
        <w:t xml:space="preserve">37, </w:t>
      </w:r>
      <w:r w:rsidRPr="00BE1172">
        <w:rPr>
          <w:rFonts w:ascii="GHEA Grapalat" w:hAnsi="GHEA Grapalat" w:cs="Arial"/>
          <w:sz w:val="24"/>
          <w:szCs w:val="24"/>
          <w:lang w:val="hy-AM"/>
        </w:rPr>
        <w:t>39, 43, 44</w:t>
      </w:r>
    </w:p>
    <w:p w14:paraId="3DE767FA" w14:textId="35DC121D" w:rsidR="00BE1172" w:rsidRDefault="00BE1172" w:rsidP="00BE1172">
      <w:pPr>
        <w:jc w:val="both"/>
        <w:rPr>
          <w:lang w:val="hy-AM"/>
        </w:rPr>
      </w:pPr>
      <w:r w:rsidRPr="00BE1172">
        <w:rPr>
          <w:rFonts w:ascii="GHEA Grapalat" w:hAnsi="GHEA Grapalat" w:cs="Arial"/>
          <w:sz w:val="24"/>
          <w:szCs w:val="24"/>
          <w:lang w:val="hy-AM"/>
        </w:rPr>
        <w:t xml:space="preserve">հղումը՝ </w:t>
      </w:r>
      <w:hyperlink r:id="rId23" w:history="1">
        <w:r w:rsidR="003307D5" w:rsidRPr="003307D5">
          <w:rPr>
            <w:rStyle w:val="ac"/>
            <w:rFonts w:ascii="GHEA Grapalat" w:hAnsi="GHEA Grapalat"/>
            <w:sz w:val="24"/>
            <w:szCs w:val="24"/>
            <w:lang w:val="hy-AM"/>
          </w:rPr>
          <w:t>https://www.arlis.am/hy/acts/208780</w:t>
        </w:r>
      </w:hyperlink>
    </w:p>
    <w:p w14:paraId="6330223D" w14:textId="77777777" w:rsidR="005144F2" w:rsidRPr="00DE607D" w:rsidRDefault="005144F2"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a7"/>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4"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7"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3A5A8273"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8" w:history="1">
        <w:r w:rsidR="000B6A3E" w:rsidRPr="000B6A3E">
          <w:rPr>
            <w:rStyle w:val="ac"/>
            <w:rFonts w:ascii="GHEA Grapalat" w:hAnsi="GHEA Grapalat"/>
            <w:sz w:val="24"/>
            <w:szCs w:val="24"/>
            <w:lang w:val="hy-AM"/>
          </w:rPr>
          <w:t>https://www.arlis.am/hy/acts/143723</w:t>
        </w:r>
      </w:hyperlink>
    </w:p>
    <w:p w14:paraId="0E018CAE" w14:textId="2D9A1D4D"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2142382449">
    <w:abstractNumId w:val="1"/>
  </w:num>
  <w:num w:numId="2" w16cid:durableId="1617447335">
    <w:abstractNumId w:val="2"/>
  </w:num>
  <w:num w:numId="3" w16cid:durableId="1737702301">
    <w:abstractNumId w:val="3"/>
  </w:num>
  <w:num w:numId="4" w16cid:durableId="1034040566">
    <w:abstractNumId w:val="0"/>
  </w:num>
  <w:num w:numId="5" w16cid:durableId="222834193">
    <w:abstractNumId w:val="4"/>
  </w:num>
  <w:num w:numId="6" w16cid:durableId="151263929">
    <w:abstractNumId w:val="7"/>
  </w:num>
  <w:num w:numId="7" w16cid:durableId="1387949295">
    <w:abstractNumId w:val="6"/>
  </w:num>
  <w:num w:numId="8" w16cid:durableId="1151945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B6A3E"/>
    <w:rsid w:val="000F2BAD"/>
    <w:rsid w:val="001B5A10"/>
    <w:rsid w:val="001B5E56"/>
    <w:rsid w:val="001D0A9E"/>
    <w:rsid w:val="00282DA6"/>
    <w:rsid w:val="002E20F3"/>
    <w:rsid w:val="002E6BCB"/>
    <w:rsid w:val="003307D5"/>
    <w:rsid w:val="003443A0"/>
    <w:rsid w:val="00347AB0"/>
    <w:rsid w:val="003E4ED1"/>
    <w:rsid w:val="003F1652"/>
    <w:rsid w:val="004455B7"/>
    <w:rsid w:val="004E151E"/>
    <w:rsid w:val="005144F2"/>
    <w:rsid w:val="00550CAB"/>
    <w:rsid w:val="005671CC"/>
    <w:rsid w:val="00597FD4"/>
    <w:rsid w:val="005C4454"/>
    <w:rsid w:val="00635F55"/>
    <w:rsid w:val="00647966"/>
    <w:rsid w:val="006538D5"/>
    <w:rsid w:val="00653EE6"/>
    <w:rsid w:val="00666FE6"/>
    <w:rsid w:val="00667473"/>
    <w:rsid w:val="006A4A55"/>
    <w:rsid w:val="006E5CB4"/>
    <w:rsid w:val="006F58F1"/>
    <w:rsid w:val="00792CFF"/>
    <w:rsid w:val="007B68BE"/>
    <w:rsid w:val="008722B2"/>
    <w:rsid w:val="00894E25"/>
    <w:rsid w:val="00957A96"/>
    <w:rsid w:val="00987C2A"/>
    <w:rsid w:val="00A21564"/>
    <w:rsid w:val="00A23818"/>
    <w:rsid w:val="00A33E5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6530"/>
    <w:rsid w:val="00C751F2"/>
    <w:rsid w:val="00CB302C"/>
    <w:rsid w:val="00DA7440"/>
    <w:rsid w:val="00DE607D"/>
    <w:rsid w:val="00DF36CE"/>
    <w:rsid w:val="00E1282A"/>
    <w:rsid w:val="00E22B36"/>
    <w:rsid w:val="00EB0621"/>
    <w:rsid w:val="00F126C5"/>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B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99657/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0"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7632"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1642</Words>
  <Characters>9362</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95</cp:revision>
  <cp:lastPrinted>2025-07-08T05:01:00Z</cp:lastPrinted>
  <dcterms:created xsi:type="dcterms:W3CDTF">2025-06-26T07:48:00Z</dcterms:created>
  <dcterms:modified xsi:type="dcterms:W3CDTF">2025-08-25T12:05:00Z</dcterms:modified>
</cp:coreProperties>
</file>