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02CF17BC"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733A6B" w:rsidRPr="00733A6B">
        <w:rPr>
          <w:rFonts w:ascii="GHEA Grapalat" w:eastAsia="Calibri" w:hAnsi="GHEA Grapalat"/>
          <w:sz w:val="22"/>
          <w:szCs w:val="22"/>
          <w:lang w:val="hy-AM"/>
        </w:rPr>
        <w:t>ստուգումների իրականացման ոլորտի վերահսկողության վարչության պետի տեղակալ</w:t>
      </w:r>
      <w:r w:rsidR="00910C56">
        <w:rPr>
          <w:rFonts w:ascii="GHEA Grapalat" w:eastAsia="Calibri" w:hAnsi="GHEA Grapalat"/>
          <w:sz w:val="22"/>
          <w:szCs w:val="22"/>
          <w:lang w:val="hy-AM"/>
        </w:rPr>
        <w:t>ի</w:t>
      </w:r>
      <w:r w:rsidR="00733A6B" w:rsidRPr="00733A6B">
        <w:rPr>
          <w:rFonts w:ascii="GHEA Grapalat" w:eastAsia="Calibri" w:hAnsi="GHEA Grapalat"/>
          <w:sz w:val="22"/>
          <w:szCs w:val="22"/>
          <w:lang w:val="hy-AM"/>
        </w:rPr>
        <w:t xml:space="preserve"> (ծածկագիր՝ 52-24.11-Ղ3-1) </w:t>
      </w:r>
      <w:r w:rsidR="000D3F96" w:rsidRPr="00AF23E6">
        <w:rPr>
          <w:rFonts w:ascii="GHEA Grapalat" w:eastAsia="Calibri" w:hAnsi="GHEA Grapalat"/>
          <w:sz w:val="22"/>
          <w:szCs w:val="22"/>
          <w:lang w:val="hy-AM"/>
        </w:rPr>
        <w:t>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5DCE323B"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733A6B" w:rsidRPr="00733A6B">
        <w:rPr>
          <w:rFonts w:ascii="GHEA Grapalat" w:eastAsia="Calibri" w:hAnsi="GHEA Grapalat"/>
          <w:sz w:val="22"/>
          <w:szCs w:val="22"/>
          <w:lang w:val="hy-AM"/>
        </w:rPr>
        <w:t>ստուգումների իրականացման ոլորտի վերահսկողության վարչության պետի տեղակալ</w:t>
      </w:r>
      <w:r w:rsidR="00910C56">
        <w:rPr>
          <w:rFonts w:ascii="GHEA Grapalat" w:eastAsia="Calibri" w:hAnsi="GHEA Grapalat"/>
          <w:sz w:val="22"/>
          <w:szCs w:val="22"/>
          <w:lang w:val="hy-AM"/>
        </w:rPr>
        <w:t>ի</w:t>
      </w:r>
      <w:r w:rsidR="00733A6B" w:rsidRPr="00733A6B">
        <w:rPr>
          <w:rFonts w:ascii="GHEA Grapalat" w:eastAsia="Calibri" w:hAnsi="GHEA Grapalat"/>
          <w:sz w:val="22"/>
          <w:szCs w:val="22"/>
          <w:lang w:val="hy-AM"/>
        </w:rPr>
        <w:t xml:space="preserve"> (ծածկագիր՝ 52-24.11-Ղ3-1)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03A314C4"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B46B12">
        <w:rPr>
          <w:rFonts w:ascii="GHEA Grapalat" w:eastAsia="Calibri" w:hAnsi="GHEA Grapalat"/>
          <w:b/>
          <w:i/>
          <w:color w:val="000000" w:themeColor="text1"/>
          <w:sz w:val="24"/>
          <w:szCs w:val="24"/>
          <w:lang w:val="hy-AM"/>
        </w:rPr>
        <w:t>դեկտեմբերի 9</w:t>
      </w:r>
      <w:r w:rsidRPr="005C4454">
        <w:rPr>
          <w:rFonts w:ascii="GHEA Grapalat" w:eastAsia="Calibri" w:hAnsi="GHEA Grapalat"/>
          <w:b/>
          <w:i/>
          <w:color w:val="000000" w:themeColor="text1"/>
          <w:sz w:val="24"/>
          <w:szCs w:val="24"/>
          <w:lang w:val="hy-AM"/>
        </w:rPr>
        <w:t xml:space="preserve">-ից մինչև 2025 թվականի </w:t>
      </w:r>
      <w:r w:rsidR="00B46B12">
        <w:rPr>
          <w:rFonts w:ascii="GHEA Grapalat" w:eastAsia="Calibri" w:hAnsi="GHEA Grapalat"/>
          <w:b/>
          <w:i/>
          <w:color w:val="000000" w:themeColor="text1"/>
          <w:sz w:val="24"/>
          <w:szCs w:val="24"/>
          <w:lang w:val="hy-AM"/>
        </w:rPr>
        <w:t>դեկտեմբերի 16</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4AFBD3B5"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w:t>
      </w:r>
      <w:r w:rsidR="00B46B12">
        <w:rPr>
          <w:rFonts w:ascii="GHEA Grapalat" w:hAnsi="GHEA Grapalat"/>
          <w:b/>
          <w:i/>
          <w:color w:val="000000" w:themeColor="text1"/>
          <w:sz w:val="22"/>
          <w:szCs w:val="22"/>
          <w:lang w:val="hy-AM"/>
        </w:rPr>
        <w:t>6</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B46B12">
        <w:rPr>
          <w:rFonts w:ascii="GHEA Grapalat" w:hAnsi="GHEA Grapalat"/>
          <w:b/>
          <w:i/>
          <w:color w:val="000000" w:themeColor="text1"/>
          <w:sz w:val="22"/>
          <w:szCs w:val="22"/>
          <w:lang w:val="hy-AM"/>
        </w:rPr>
        <w:t>հունվարի 15</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6C513361"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B46B12">
        <w:rPr>
          <w:rFonts w:ascii="GHEA Grapalat" w:hAnsi="GHEA Grapalat"/>
          <w:b/>
          <w:i/>
          <w:color w:val="000000" w:themeColor="text1"/>
          <w:sz w:val="22"/>
          <w:szCs w:val="22"/>
          <w:lang w:val="hy-AM"/>
        </w:rPr>
        <w:t>2026</w:t>
      </w:r>
      <w:r w:rsidR="00B46B12" w:rsidRPr="00525B6A">
        <w:rPr>
          <w:rFonts w:ascii="GHEA Grapalat" w:hAnsi="GHEA Grapalat"/>
          <w:b/>
          <w:i/>
          <w:color w:val="000000" w:themeColor="text1"/>
          <w:sz w:val="22"/>
          <w:szCs w:val="22"/>
          <w:lang w:val="hy-AM"/>
        </w:rPr>
        <w:t xml:space="preserve"> </w:t>
      </w:r>
      <w:r w:rsidR="00B46B12" w:rsidRPr="00525B6A">
        <w:rPr>
          <w:rFonts w:ascii="GHEA Grapalat" w:hAnsi="GHEA Grapalat" w:cs="Arial"/>
          <w:b/>
          <w:i/>
          <w:color w:val="000000" w:themeColor="text1"/>
          <w:sz w:val="22"/>
          <w:szCs w:val="22"/>
          <w:lang w:val="hy-AM"/>
        </w:rPr>
        <w:t>թվականի</w:t>
      </w:r>
      <w:r w:rsidR="00B46B12" w:rsidRPr="00525B6A">
        <w:rPr>
          <w:rFonts w:ascii="GHEA Grapalat" w:hAnsi="GHEA Grapalat"/>
          <w:b/>
          <w:i/>
          <w:color w:val="000000" w:themeColor="text1"/>
          <w:sz w:val="22"/>
          <w:szCs w:val="22"/>
          <w:lang w:val="hy-AM"/>
        </w:rPr>
        <w:t xml:space="preserve"> </w:t>
      </w:r>
      <w:r w:rsidR="00B46B12">
        <w:rPr>
          <w:rFonts w:ascii="GHEA Grapalat" w:hAnsi="GHEA Grapalat"/>
          <w:b/>
          <w:i/>
          <w:color w:val="000000" w:themeColor="text1"/>
          <w:sz w:val="22"/>
          <w:szCs w:val="22"/>
          <w:lang w:val="hy-AM"/>
        </w:rPr>
        <w:t>հունվարի 19</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511EC3D2" w14:textId="77777777" w:rsidR="00AE5FAE" w:rsidRPr="00AE5FAE" w:rsidRDefault="00AE5FAE" w:rsidP="00AE5FAE">
      <w:pPr>
        <w:spacing w:after="160" w:line="256" w:lineRule="auto"/>
        <w:ind w:firstLine="708"/>
        <w:jc w:val="both"/>
        <w:rPr>
          <w:rFonts w:ascii="GHEA Grapalat" w:eastAsia="Calibri" w:hAnsi="GHEA Grapalat" w:cs="Arial"/>
          <w:b/>
          <w:i/>
          <w:kern w:val="2"/>
          <w:sz w:val="24"/>
          <w:szCs w:val="24"/>
          <w:lang w:val="hy-AM" w:eastAsia="en-US"/>
          <w14:ligatures w14:val="standardContextual"/>
        </w:rPr>
      </w:pPr>
      <w:r w:rsidRPr="00AE5FAE">
        <w:rPr>
          <w:rFonts w:ascii="GHEA Grapalat" w:eastAsia="Calibri" w:hAnsi="GHEA Grapalat" w:cs="Arial"/>
          <w:b/>
          <w:i/>
          <w:kern w:val="2"/>
          <w:sz w:val="24"/>
          <w:szCs w:val="24"/>
          <w:lang w:val="hy-AM" w:eastAsia="en-US"/>
          <w14:ligatures w14:val="standardContextual"/>
        </w:rPr>
        <w:lastRenderedPageBreak/>
        <w:t>Հիմնական աշխատավարձը 391.040 (երեք հարյուր իննսունմեկ հազար  քառասուն) ՀՀ դրամ է:</w:t>
      </w:r>
    </w:p>
    <w:p w14:paraId="244B3485" w14:textId="77777777" w:rsidR="00AE5FAE" w:rsidRPr="00AE5FAE" w:rsidRDefault="00AE5FAE" w:rsidP="00AE5FAE">
      <w:pPr>
        <w:spacing w:after="160" w:line="256" w:lineRule="auto"/>
        <w:ind w:firstLine="708"/>
        <w:jc w:val="both"/>
        <w:rPr>
          <w:rFonts w:ascii="GHEA Grapalat" w:eastAsia="Calibri" w:hAnsi="GHEA Grapalat" w:cs="Arial"/>
          <w:kern w:val="2"/>
          <w:sz w:val="24"/>
          <w:szCs w:val="24"/>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42A9500" w14:textId="77777777" w:rsidR="00AE5FAE" w:rsidRPr="00AE5FAE" w:rsidRDefault="00AE5FAE" w:rsidP="00AE5FAE">
      <w:pPr>
        <w:spacing w:after="160" w:line="256" w:lineRule="auto"/>
        <w:jc w:val="both"/>
        <w:rPr>
          <w:rFonts w:ascii="GHEA Grapalat" w:eastAsia="Calibri" w:hAnsi="GHEA Grapalat" w:cs="Arial"/>
          <w:b/>
          <w:bCs/>
          <w:i/>
          <w:kern w:val="2"/>
          <w:sz w:val="24"/>
          <w:szCs w:val="24"/>
          <w:u w:val="single"/>
          <w:lang w:val="ru-RU" w:eastAsia="en-US"/>
          <w14:ligatures w14:val="standardContextual"/>
        </w:rPr>
      </w:pPr>
      <w:r w:rsidRPr="00AE5FAE">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20A3142B" w14:textId="77777777" w:rsidR="00AE5FAE" w:rsidRPr="00AE5FAE" w:rsidRDefault="00AE5FAE" w:rsidP="00AE5FAE">
      <w:pPr>
        <w:numPr>
          <w:ilvl w:val="0"/>
          <w:numId w:val="7"/>
        </w:numPr>
        <w:spacing w:after="160" w:line="256" w:lineRule="auto"/>
        <w:jc w:val="both"/>
        <w:rPr>
          <w:rFonts w:ascii="GHEA Grapalat" w:eastAsia="Calibri" w:hAnsi="GHEA Grapalat" w:cs="Arial"/>
          <w:b/>
          <w:i/>
          <w:kern w:val="2"/>
          <w:sz w:val="24"/>
          <w:szCs w:val="24"/>
          <w:lang w:val="ru-RU" w:eastAsia="en-US"/>
          <w14:ligatures w14:val="standardContextual"/>
        </w:rPr>
      </w:pPr>
      <w:r w:rsidRPr="00AE5FAE">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2B497024"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AE5FAE">
          <w:rPr>
            <w:rFonts w:ascii="GHEA Grapalat" w:eastAsia="Calibri" w:hAnsi="GHEA Grapalat" w:cs="Arial"/>
            <w:bCs/>
            <w:iCs/>
            <w:kern w:val="2"/>
            <w:sz w:val="24"/>
            <w:szCs w:val="24"/>
            <w:lang w:val="hy-AM" w:eastAsia="en-US"/>
            <w14:ligatures w14:val="standardContextual"/>
          </w:rPr>
          <w:t>«Քաղաքացիական ծառայության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w:t>
      </w:r>
      <w:r w:rsidRPr="00AE5FAE">
        <w:rPr>
          <w:rFonts w:ascii="Calibri" w:eastAsia="Calibri" w:hAnsi="Calibri" w:cs="Calibri"/>
          <w:bCs/>
          <w:iCs/>
          <w:kern w:val="2"/>
          <w:sz w:val="24"/>
          <w:szCs w:val="24"/>
          <w:lang w:val="hy-AM" w:eastAsia="en-US"/>
          <w14:ligatures w14:val="standardContextual"/>
        </w:rPr>
        <w:t> </w:t>
      </w:r>
      <w:r w:rsidRPr="00AE5FAE">
        <w:rPr>
          <w:rFonts w:ascii="GHEA Grapalat" w:eastAsia="Calibri" w:hAnsi="GHEA Grapalat" w:cs="Arial"/>
          <w:bCs/>
          <w:iCs/>
          <w:kern w:val="2"/>
          <w:sz w:val="24"/>
          <w:szCs w:val="24"/>
          <w:lang w:val="hy-AM" w:eastAsia="en-US"/>
          <w14:ligatures w14:val="standardContextual"/>
        </w:rPr>
        <w:t>5, 7, 9, 10, 12-17, 19-21, 23, 24, 29, 30, 33, 35, 37, 39)</w:t>
      </w:r>
    </w:p>
    <w:p w14:paraId="3B5FE999"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GHEA Grapalat" w:eastAsia="Calibri" w:hAnsi="GHEA Grapalat"/>
          <w:kern w:val="2"/>
          <w:sz w:val="24"/>
          <w:szCs w:val="24"/>
          <w:lang w:val="hy-AM" w:eastAsia="en-US"/>
          <w14:ligatures w14:val="standardContextual"/>
        </w:rPr>
        <w:t xml:space="preserve"> </w:t>
      </w:r>
      <w:hyperlink r:id="rId12" w:history="1">
        <w:r w:rsidRPr="00910C56">
          <w:rPr>
            <w:rStyle w:val="a3"/>
            <w:rFonts w:ascii="GHEA Grapalat" w:hAnsi="GHEA Grapalat"/>
            <w:sz w:val="24"/>
            <w:szCs w:val="24"/>
            <w:lang w:val="hy-AM"/>
          </w:rPr>
          <w:t>https://www.arlis.am/hy/acts/204205</w:t>
        </w:r>
      </w:hyperlink>
    </w:p>
    <w:p w14:paraId="69916839"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AE5FAE">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4-7, 20-27)</w:t>
      </w:r>
    </w:p>
    <w:p w14:paraId="0A584427"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4" w:history="1">
        <w:r w:rsidRPr="00910C56">
          <w:rPr>
            <w:rStyle w:val="a3"/>
            <w:rFonts w:ascii="GHEA Grapalat" w:hAnsi="GHEA Grapalat"/>
            <w:sz w:val="24"/>
            <w:szCs w:val="24"/>
            <w:lang w:val="hy-AM"/>
          </w:rPr>
          <w:t>https://www.arlis.am/hy/acts/207626</w:t>
        </w:r>
      </w:hyperlink>
    </w:p>
    <w:p w14:paraId="773B3FCA"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AE5FAE">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3-9, 15, 17, 20, 27</w:t>
      </w:r>
      <w:r w:rsidRPr="00AE5FAE">
        <w:rPr>
          <w:rFonts w:ascii="GHEA Grapalat" w:eastAsia="Calibri" w:hAnsi="GHEA Grapalat" w:cs="Arial" w:hint="eastAsia"/>
          <w:bCs/>
          <w:iCs/>
          <w:kern w:val="2"/>
          <w:sz w:val="24"/>
          <w:szCs w:val="24"/>
          <w:lang w:val="hy-AM" w:eastAsia="en-US"/>
          <w14:ligatures w14:val="standardContextual"/>
        </w:rPr>
        <w:t>․</w:t>
      </w:r>
      <w:r w:rsidRPr="00AE5FAE">
        <w:rPr>
          <w:rFonts w:ascii="GHEA Grapalat" w:eastAsia="Calibri" w:hAnsi="GHEA Grapalat" w:cs="Arial"/>
          <w:bCs/>
          <w:iCs/>
          <w:kern w:val="2"/>
          <w:sz w:val="24"/>
          <w:szCs w:val="24"/>
          <w:lang w:val="hy-AM" w:eastAsia="en-US"/>
          <w14:ligatures w14:val="standardContextual"/>
        </w:rPr>
        <w:t>1, 28-37, 43)</w:t>
      </w:r>
    </w:p>
    <w:p w14:paraId="370B2E5B"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6" w:history="1">
        <w:r w:rsidRPr="00910C56">
          <w:rPr>
            <w:rStyle w:val="a3"/>
            <w:rFonts w:ascii="GHEA Grapalat" w:hAnsi="GHEA Grapalat"/>
            <w:sz w:val="24"/>
            <w:szCs w:val="24"/>
            <w:lang w:val="hy-AM"/>
          </w:rPr>
          <w:t>https://www.arlis.am/hy/acts/208569/latest</w:t>
        </w:r>
      </w:hyperlink>
    </w:p>
    <w:p w14:paraId="42FE2A35"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AE5FAE">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AE5FAE">
        <w:rPr>
          <w:rFonts w:ascii="GHEA Grapalat" w:eastAsia="Calibri" w:hAnsi="GHEA Grapalat" w:cs="Arial"/>
          <w:bCs/>
          <w:iCs/>
          <w:kern w:val="2"/>
          <w:sz w:val="24"/>
          <w:szCs w:val="24"/>
          <w:lang w:val="hy-AM" w:eastAsia="en-US"/>
          <w14:ligatures w14:val="standardContextual"/>
        </w:rPr>
        <w:t xml:space="preserve"> (Հոդվածներ՝ 2, 4, 6-8, 11-16, 18, 21, 23, 25-27, 33, 38, 40-48, 50, 51, 55, 64, 71, 73, 88, 89, 91, 93, 95, 96, 98, 101, 102, 103, 105, 106, 109, 110, 111, 113, 115, 116, 120, 122, 127, 131, 132, 134, 137, 140, 143, 146-155, 162, 164, 202, 205)</w:t>
      </w:r>
    </w:p>
    <w:p w14:paraId="2CBCB8A5" w14:textId="77777777" w:rsidR="00D02E3A" w:rsidRPr="00C7392A" w:rsidRDefault="00AE5FAE" w:rsidP="00D02E3A">
      <w:pPr>
        <w:spacing w:line="276" w:lineRule="auto"/>
        <w:ind w:left="720" w:hanging="720"/>
        <w:contextualSpacing/>
        <w:rPr>
          <w:rFonts w:ascii="GHEA Grapalat" w:hAnsi="GHEA Grapalat"/>
          <w:sz w:val="24"/>
          <w:szCs w:val="24"/>
          <w:lang w:val="hy-AM"/>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8" w:history="1">
        <w:r w:rsidR="00D02E3A" w:rsidRPr="00C7392A">
          <w:rPr>
            <w:rStyle w:val="a3"/>
            <w:rFonts w:ascii="GHEA Grapalat" w:hAnsi="GHEA Grapalat"/>
            <w:sz w:val="24"/>
            <w:szCs w:val="24"/>
            <w:lang w:val="hy-AM"/>
          </w:rPr>
          <w:t>https://www.arlis.am/hy/acts/143723</w:t>
        </w:r>
      </w:hyperlink>
    </w:p>
    <w:p w14:paraId="6CC6BC10" w14:textId="77777777" w:rsidR="00D02E3A" w:rsidRDefault="00D02E3A" w:rsidP="00D02E3A">
      <w:pPr>
        <w:spacing w:after="160" w:line="256" w:lineRule="auto"/>
        <w:jc w:val="both"/>
        <w:rPr>
          <w:rFonts w:ascii="GHEA Grapalat" w:hAnsi="GHEA Grapalat" w:cs="Arial"/>
          <w:b/>
          <w:i/>
          <w:sz w:val="24"/>
          <w:szCs w:val="24"/>
          <w:u w:val="single"/>
          <w:lang w:val="hy-AM"/>
        </w:rPr>
      </w:pPr>
    </w:p>
    <w:p w14:paraId="64862282" w14:textId="6EDE99FF" w:rsidR="006C4E11" w:rsidRPr="009B3B04" w:rsidRDefault="006C4E11" w:rsidP="00D02E3A">
      <w:pPr>
        <w:spacing w:after="160" w:line="256" w:lineRule="auto"/>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9"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3A6E2AA7"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20" w:history="1">
        <w:r w:rsidR="006D561A" w:rsidRPr="006E1FD0">
          <w:rPr>
            <w:rStyle w:val="a3"/>
            <w:rFonts w:ascii="GHEA Grapalat" w:hAnsi="GHEA Grapalat"/>
            <w:sz w:val="24"/>
            <w:szCs w:val="24"/>
            <w:lang w:val="hy-AM"/>
          </w:rPr>
          <w:t>https://www.arlis.am/hy/acts/210052/latest</w:t>
        </w:r>
      </w:hyperlink>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46DF1AED"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1" w:history="1">
        <w:r w:rsidR="006E1FD0" w:rsidRPr="006E1FD0">
          <w:rPr>
            <w:rStyle w:val="a3"/>
            <w:rFonts w:ascii="GHEA Grapalat" w:hAnsi="GHEA Grapalat" w:cs="Arial"/>
            <w:sz w:val="24"/>
            <w:szCs w:val="24"/>
            <w:lang w:val="hy-AM"/>
          </w:rPr>
          <w:t>https://www.arlis.am/hy/acts/209903</w:t>
        </w:r>
      </w:hyperlink>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733A6B" w:rsidRDefault="002B5133" w:rsidP="002B5133">
      <w:pPr>
        <w:spacing w:line="276" w:lineRule="auto"/>
        <w:jc w:val="both"/>
        <w:rPr>
          <w:rStyle w:val="a3"/>
          <w:rFonts w:ascii="GHEA Grapalat" w:hAnsi="GHEA Grapalat" w:cs="Arial"/>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lastRenderedPageBreak/>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t xml:space="preserve">հղումը՝ </w:t>
      </w:r>
      <w:hyperlink r:id="rId22"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3"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53EDC6BA" w:rsidR="006C4E11" w:rsidRPr="00C7392A" w:rsidRDefault="006C4E11" w:rsidP="00654766">
      <w:pPr>
        <w:spacing w:line="276" w:lineRule="auto"/>
        <w:ind w:hanging="284"/>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w:t>
      </w:r>
      <w:r w:rsidR="00BD6AB8">
        <w:rPr>
          <w:rFonts w:ascii="GHEA Grapalat" w:eastAsia="Calibri" w:hAnsi="GHEA Grapalat"/>
          <w:sz w:val="24"/>
          <w:szCs w:val="24"/>
          <w:lang w:val="hy-AM"/>
        </w:rPr>
        <w:t xml:space="preserve">  </w:t>
      </w:r>
      <w:r w:rsidRPr="00C7392A">
        <w:rPr>
          <w:rFonts w:ascii="GHEA Grapalat" w:eastAsia="Calibri" w:hAnsi="GHEA Grapalat"/>
          <w:sz w:val="24"/>
          <w:szCs w:val="24"/>
          <w:lang w:val="hy-AM"/>
        </w:rPr>
        <w:t>հղումը՝</w:t>
      </w:r>
      <w:r w:rsidRPr="00C7392A">
        <w:rPr>
          <w:rFonts w:ascii="GHEA Grapalat" w:eastAsia="Calibri" w:hAnsi="GHEA Grapalat"/>
          <w:b/>
          <w:bCs/>
          <w:i/>
          <w:iCs/>
          <w:sz w:val="24"/>
          <w:szCs w:val="24"/>
          <w:u w:val="single"/>
          <w:lang w:val="hy-AM"/>
        </w:rPr>
        <w:t xml:space="preserve"> </w:t>
      </w:r>
      <w:hyperlink r:id="rId24"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654008B0" w:rsidR="006C4E11" w:rsidRPr="00C7392A" w:rsidRDefault="00BD6AB8" w:rsidP="00654766">
      <w:pPr>
        <w:spacing w:line="276" w:lineRule="auto"/>
        <w:ind w:left="426"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6C4E11" w:rsidRPr="00C7392A">
        <w:rPr>
          <w:rFonts w:ascii="GHEA Grapalat" w:eastAsia="Calibri" w:hAnsi="GHEA Grapalat" w:cs="Arial"/>
          <w:sz w:val="24"/>
          <w:szCs w:val="24"/>
          <w:lang w:val="hy-AM"/>
        </w:rPr>
        <w:t xml:space="preserve">հղումը՝ </w:t>
      </w:r>
      <w:hyperlink r:id="rId25" w:history="1">
        <w:r w:rsidR="006C4E11"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54766">
      <w:pPr>
        <w:spacing w:line="276" w:lineRule="auto"/>
        <w:ind w:left="720" w:hanging="284"/>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6" w:history="1">
        <w:r w:rsidRPr="00C7392A">
          <w:rPr>
            <w:rStyle w:val="a3"/>
            <w:rFonts w:ascii="GHEA Grapalat" w:hAnsi="GHEA Grapalat"/>
            <w:sz w:val="24"/>
            <w:szCs w:val="24"/>
            <w:lang w:val="hy-AM"/>
          </w:rPr>
          <w:t>https://www.arlis.am/hy/acts/208787/latest</w:t>
        </w:r>
      </w:hyperlink>
    </w:p>
    <w:p w14:paraId="17D88973" w14:textId="441F134F" w:rsidR="00654766" w:rsidRPr="00654766" w:rsidRDefault="00654766"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654766">
        <w:rPr>
          <w:rFonts w:ascii="GHEA Grapalat" w:eastAsia="Calibri" w:hAnsi="GHEA Grapalat" w:cs="Arial"/>
          <w:sz w:val="24"/>
          <w:szCs w:val="24"/>
          <w:lang w:val="hy-AM"/>
        </w:rPr>
        <w:t xml:space="preserve">«Հայաստանի հանրապետությունում ստուգումների կազմակերպման և անցկացման մասին»  օրենք. </w:t>
      </w:r>
    </w:p>
    <w:p w14:paraId="49971293" w14:textId="3B919A76" w:rsidR="00654766" w:rsidRDefault="00654766" w:rsidP="00654766">
      <w:pPr>
        <w:spacing w:after="160" w:line="276" w:lineRule="auto"/>
        <w:ind w:left="360"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654766">
        <w:rPr>
          <w:rFonts w:ascii="GHEA Grapalat" w:eastAsia="Calibri" w:hAnsi="GHEA Grapalat" w:cs="Arial"/>
          <w:sz w:val="24"/>
          <w:szCs w:val="24"/>
          <w:lang w:val="hy-AM"/>
        </w:rPr>
        <w:t xml:space="preserve">հղումը՝ </w:t>
      </w:r>
      <w:hyperlink r:id="rId27" w:history="1">
        <w:r w:rsidRPr="00AF6050">
          <w:rPr>
            <w:rStyle w:val="a3"/>
            <w:rFonts w:ascii="GHEA Grapalat" w:eastAsia="Calibri" w:hAnsi="GHEA Grapalat" w:cs="Arial"/>
            <w:sz w:val="24"/>
            <w:szCs w:val="24"/>
            <w:lang w:val="hy-AM"/>
          </w:rPr>
          <w:t>https://www.arlis.am/hy/acts/209903</w:t>
        </w:r>
      </w:hyperlink>
    </w:p>
    <w:p w14:paraId="1C666C4B" w14:textId="5CF54CFB" w:rsidR="006C4E11" w:rsidRPr="00C7392A" w:rsidRDefault="006C4E11" w:rsidP="00654766">
      <w:pPr>
        <w:numPr>
          <w:ilvl w:val="0"/>
          <w:numId w:val="6"/>
        </w:numPr>
        <w:spacing w:after="160" w:line="276" w:lineRule="auto"/>
        <w:ind w:hanging="578"/>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Սահմանադրություն.</w:t>
      </w:r>
    </w:p>
    <w:p w14:paraId="20552D06" w14:textId="0C42361C" w:rsidR="006C4E11" w:rsidRPr="00C7392A" w:rsidRDefault="006C4E11" w:rsidP="00654766">
      <w:pPr>
        <w:spacing w:line="276" w:lineRule="auto"/>
        <w:ind w:left="720" w:hanging="284"/>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8"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654766">
      <w:pPr>
        <w:numPr>
          <w:ilvl w:val="0"/>
          <w:numId w:val="6"/>
        </w:numPr>
        <w:spacing w:after="160" w:line="276" w:lineRule="auto"/>
        <w:ind w:left="426" w:hanging="142"/>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584FFCDD" w:rsidR="006C4E11" w:rsidRPr="00C7392A" w:rsidRDefault="00BD6AB8" w:rsidP="00654766">
      <w:pPr>
        <w:spacing w:line="276" w:lineRule="auto"/>
        <w:ind w:left="426" w:hanging="142"/>
        <w:contextualSpacing/>
        <w:jc w:val="both"/>
        <w:rPr>
          <w:rFonts w:ascii="GHEA Grapalat" w:eastAsia="Calibri" w:hAnsi="GHEA Grapalat" w:cs="Arial"/>
          <w:sz w:val="24"/>
          <w:szCs w:val="24"/>
          <w:lang w:val="hy-AM"/>
        </w:rPr>
      </w:pPr>
      <w:r>
        <w:rPr>
          <w:rFonts w:ascii="GHEA Grapalat" w:eastAsia="Calibri" w:hAnsi="GHEA Grapalat"/>
          <w:color w:val="000000" w:themeColor="text1"/>
          <w:sz w:val="24"/>
          <w:szCs w:val="24"/>
          <w:lang w:val="hy-AM"/>
        </w:rPr>
        <w:t xml:space="preserve">    </w:t>
      </w:r>
      <w:r w:rsidR="006C4E11" w:rsidRPr="00C7392A">
        <w:rPr>
          <w:rFonts w:ascii="GHEA Grapalat" w:eastAsia="Calibri" w:hAnsi="GHEA Grapalat"/>
          <w:color w:val="000000" w:themeColor="text1"/>
          <w:sz w:val="24"/>
          <w:szCs w:val="24"/>
          <w:lang w:val="hy-AM"/>
        </w:rPr>
        <w:t xml:space="preserve">հղումը՝ </w:t>
      </w:r>
      <w:bookmarkEnd w:id="0"/>
      <w:r w:rsidR="006C4E11" w:rsidRPr="00C7392A">
        <w:rPr>
          <w:rFonts w:ascii="GHEA Grapalat" w:hAnsi="GHEA Grapalat"/>
          <w:sz w:val="24"/>
          <w:szCs w:val="24"/>
          <w:lang w:val="hy-AM"/>
        </w:rPr>
        <w:fldChar w:fldCharType="begin"/>
      </w:r>
      <w:r w:rsidR="006C4E11" w:rsidRPr="00C7392A">
        <w:rPr>
          <w:rFonts w:ascii="GHEA Grapalat" w:hAnsi="GHEA Grapalat"/>
          <w:sz w:val="24"/>
          <w:szCs w:val="24"/>
          <w:lang w:val="hy-AM"/>
        </w:rPr>
        <w:instrText xml:space="preserve"> HYPERLINK "https://www.arlis.am/hy/acts/187307" </w:instrText>
      </w:r>
      <w:r w:rsidR="006C4E11" w:rsidRPr="00C7392A">
        <w:rPr>
          <w:rFonts w:ascii="GHEA Grapalat" w:hAnsi="GHEA Grapalat"/>
          <w:sz w:val="24"/>
          <w:szCs w:val="24"/>
          <w:lang w:val="hy-AM"/>
        </w:rPr>
      </w:r>
      <w:r w:rsidR="006C4E11" w:rsidRPr="00C7392A">
        <w:rPr>
          <w:rFonts w:ascii="GHEA Grapalat" w:hAnsi="GHEA Grapalat"/>
          <w:sz w:val="24"/>
          <w:szCs w:val="24"/>
          <w:lang w:val="hy-AM"/>
        </w:rPr>
        <w:fldChar w:fldCharType="separate"/>
      </w:r>
      <w:r w:rsidR="006C4E11" w:rsidRPr="00C7392A">
        <w:rPr>
          <w:rStyle w:val="a3"/>
          <w:rFonts w:ascii="GHEA Grapalat" w:hAnsi="GHEA Grapalat"/>
          <w:sz w:val="24"/>
          <w:szCs w:val="24"/>
          <w:lang w:val="hy-AM"/>
        </w:rPr>
        <w:t>https://www.arlis.am/hy/acts/187307</w:t>
      </w:r>
      <w:r w:rsidR="006C4E11" w:rsidRPr="00C7392A">
        <w:rPr>
          <w:rFonts w:ascii="GHEA Grapalat" w:hAnsi="GHEA Grapalat"/>
          <w:sz w:val="24"/>
          <w:szCs w:val="24"/>
          <w:lang w:val="hy-AM"/>
        </w:rPr>
        <w:fldChar w:fldCharType="end"/>
      </w:r>
    </w:p>
    <w:p w14:paraId="1873E41A" w14:textId="77777777" w:rsidR="006C4E11" w:rsidRPr="00C7392A" w:rsidRDefault="006C4E11" w:rsidP="00654766">
      <w:pPr>
        <w:spacing w:line="276" w:lineRule="auto"/>
        <w:ind w:hanging="284"/>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 w:numId="7" w16cid:durableId="132389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54223"/>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1069"/>
    <w:rsid w:val="00424E1C"/>
    <w:rsid w:val="00434AD2"/>
    <w:rsid w:val="004542F5"/>
    <w:rsid w:val="00454E20"/>
    <w:rsid w:val="0046248B"/>
    <w:rsid w:val="004B0FF0"/>
    <w:rsid w:val="004D2DA0"/>
    <w:rsid w:val="004E7D67"/>
    <w:rsid w:val="00516EC4"/>
    <w:rsid w:val="00525B6A"/>
    <w:rsid w:val="00530B97"/>
    <w:rsid w:val="005361A2"/>
    <w:rsid w:val="00541DDE"/>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30527"/>
    <w:rsid w:val="00642154"/>
    <w:rsid w:val="00654766"/>
    <w:rsid w:val="00661EAA"/>
    <w:rsid w:val="00662E20"/>
    <w:rsid w:val="00666B24"/>
    <w:rsid w:val="0068516C"/>
    <w:rsid w:val="006B5F19"/>
    <w:rsid w:val="006C4E11"/>
    <w:rsid w:val="006D561A"/>
    <w:rsid w:val="006E1FD0"/>
    <w:rsid w:val="006F1B5B"/>
    <w:rsid w:val="00715279"/>
    <w:rsid w:val="00724B1D"/>
    <w:rsid w:val="00732136"/>
    <w:rsid w:val="00733A6B"/>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0C56"/>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E5FAE"/>
    <w:rsid w:val="00AF23E6"/>
    <w:rsid w:val="00AF5B0C"/>
    <w:rsid w:val="00AF6B96"/>
    <w:rsid w:val="00B045F2"/>
    <w:rsid w:val="00B0496D"/>
    <w:rsid w:val="00B250D8"/>
    <w:rsid w:val="00B428E9"/>
    <w:rsid w:val="00B438F6"/>
    <w:rsid w:val="00B46B12"/>
    <w:rsid w:val="00B80550"/>
    <w:rsid w:val="00B911D9"/>
    <w:rsid w:val="00B927DA"/>
    <w:rsid w:val="00B956D6"/>
    <w:rsid w:val="00BA4C65"/>
    <w:rsid w:val="00BB1C38"/>
    <w:rsid w:val="00BB5AFA"/>
    <w:rsid w:val="00BD6AB8"/>
    <w:rsid w:val="00BE57B8"/>
    <w:rsid w:val="00BE772E"/>
    <w:rsid w:val="00BE79A3"/>
    <w:rsid w:val="00BF2C6A"/>
    <w:rsid w:val="00BF61CF"/>
    <w:rsid w:val="00BF7202"/>
    <w:rsid w:val="00C0647D"/>
    <w:rsid w:val="00C1589B"/>
    <w:rsid w:val="00C17243"/>
    <w:rsid w:val="00C222AE"/>
    <w:rsid w:val="00C4269B"/>
    <w:rsid w:val="00C45E2C"/>
    <w:rsid w:val="00C7392A"/>
    <w:rsid w:val="00C843A3"/>
    <w:rsid w:val="00C84459"/>
    <w:rsid w:val="00C914FB"/>
    <w:rsid w:val="00C95518"/>
    <w:rsid w:val="00CB6794"/>
    <w:rsid w:val="00CC7789"/>
    <w:rsid w:val="00CE64D5"/>
    <w:rsid w:val="00D00265"/>
    <w:rsid w:val="00D02E3A"/>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3A"/>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8787/latest" TargetMode="External"/><Relationship Id="rId3" Type="http://schemas.openxmlformats.org/officeDocument/2006/relationships/styles" Target="styles.xml"/><Relationship Id="rId21" Type="http://schemas.openxmlformats.org/officeDocument/2006/relationships/hyperlink" Target="https://www.arlis.am/hy/acts/209903"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10052/latest"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2923/latest" TargetMode="External"/><Relationship Id="rId28" Type="http://schemas.openxmlformats.org/officeDocument/2006/relationships/hyperlink" Target="https://www.arlis.am/hy/acts/143723"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0337/latest" TargetMode="External"/><Relationship Id="rId27" Type="http://schemas.openxmlformats.org/officeDocument/2006/relationships/hyperlink" Target="https://www.arlis.am/hy/acts/2099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1685</Words>
  <Characters>9609</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19</cp:revision>
  <cp:lastPrinted>2025-09-02T06:44:00Z</cp:lastPrinted>
  <dcterms:created xsi:type="dcterms:W3CDTF">2025-09-01T07:18:00Z</dcterms:created>
  <dcterms:modified xsi:type="dcterms:W3CDTF">2025-12-09T07:02:00Z</dcterms:modified>
</cp:coreProperties>
</file>