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3DE6BCAE" w:rsidR="002F4E92" w:rsidRPr="00C41E43" w:rsidRDefault="000A1F18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r w:rsidRPr="00C41E43">
        <w:rPr>
          <w:rFonts w:ascii="GHEA Grapalat" w:hAnsi="GHEA Grapalat" w:cs="Arial"/>
          <w:sz w:val="24"/>
          <w:szCs w:val="24"/>
        </w:rPr>
        <w:t>ԵՏԱԿԱՆ ՎԵՐԱՀՍԿՈՂԱԿԱՆ ԾԱՌԱՅՈՒԹՅՈՒՆԸ ՀԱՅՏԱՐԱՐՈՒՄ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Է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Pr="00C41E43">
        <w:rPr>
          <w:rFonts w:ascii="GHEA Grapalat" w:hAnsi="GHEA Grapalat" w:cs="Arial"/>
          <w:sz w:val="24"/>
          <w:szCs w:val="24"/>
        </w:rPr>
        <w:t>ՔԱՂԱՔԱՑԻԱԿԱՆ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ԾԱՌԱՅՈՒԹՅԱՆ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Pr="00C41E43">
        <w:rPr>
          <w:rFonts w:ascii="GHEA Grapalat" w:hAnsi="GHEA Grapalat" w:cs="Arial"/>
          <w:sz w:val="24"/>
          <w:szCs w:val="24"/>
        </w:rPr>
        <w:t>ԹԱՓՈՒՐ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ՊԱՇՏՈՆՆ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ԶԲԱՂԵՑՆԵԼՈՒ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ՄԱՍԻՆ</w:t>
      </w:r>
    </w:p>
    <w:p w14:paraId="220F3052" w14:textId="343DF9D8" w:rsidR="002F4E92" w:rsidRPr="00C41E4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r w:rsidR="00BD3D6C" w:rsidRPr="00C41E43">
        <w:rPr>
          <w:rFonts w:ascii="GHEA Grapalat" w:hAnsi="GHEA Grapalat" w:cs="Arial"/>
          <w:sz w:val="24"/>
          <w:szCs w:val="24"/>
        </w:rPr>
        <w:t>ետական վերահսկողական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սոցիալական ոլորտի վերահսկողության վարչության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ավագ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 վերահսկողի (ծածկագիր՝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52-24.3-Մ3-1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>)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քաղաքացիական ծառայության</w:t>
      </w:r>
      <w:r w:rsidR="00FC2154" w:rsidRPr="00C41E43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 փաստաթղթերի ցանկ</w:t>
      </w:r>
    </w:p>
    <w:p w14:paraId="7F9E17D1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C41E43" w:rsidRDefault="00A51B88" w:rsidP="00A51B88">
      <w:pPr>
        <w:pStyle w:val="a5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C41E43">
        <w:rPr>
          <w:rFonts w:ascii="GHEA Grapalat" w:eastAsia="Calibri" w:hAnsi="GHEA Grapalat"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a5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5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6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26199709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Բարձրագույն կրթություն: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անրային ծառայության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առնվազն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4280AF51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</w:t>
      </w:r>
      <w:r w:rsidR="00CB6CA3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25.07</w:t>
      </w:r>
      <w:r w:rsidR="00CB6CA3"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.2027</w:t>
      </w:r>
      <w:r w:rsidR="00CB6CA3" w:rsidRPr="00C41E43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E2181BE" w14:textId="6AD09F70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` </w:t>
      </w:r>
      <w:r w:rsidR="000A1F18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16.06.2026</w:t>
      </w:r>
      <w:r w:rsidRPr="00C41E43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3F750DA1" w14:textId="77777777" w:rsidR="004223F8" w:rsidRPr="00C41E43" w:rsidRDefault="00F05B69" w:rsidP="004223F8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4223F8" w:rsidRPr="00C41E43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221.312 (երկու հարյուր քսանմեկ հազար  երեք հարյուր տասներկու) ՀՀ դրամ է:</w:t>
      </w:r>
    </w:p>
    <w:p w14:paraId="6027149A" w14:textId="0898A34C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 w:rsidRPr="00C41E43">
        <w:rPr>
          <w:rFonts w:ascii="GHEA Grapalat" w:hAnsi="GHEA Grapalat"/>
          <w:sz w:val="24"/>
          <w:szCs w:val="24"/>
          <w:lang w:val="hy-AM"/>
        </w:rPr>
        <w:t>. 010-31-31-8</w:t>
      </w:r>
      <w:r w:rsidR="003A17AC" w:rsidRPr="00C41E43">
        <w:rPr>
          <w:rFonts w:ascii="GHEA Grapalat" w:hAnsi="GHEA Grapalat"/>
          <w:sz w:val="24"/>
          <w:szCs w:val="24"/>
          <w:lang w:val="hy-AM"/>
        </w:rPr>
        <w:t>7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14:paraId="564E3442" w14:textId="4EBE3E15" w:rsidR="00CA1408" w:rsidRPr="00C41E43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7"/>
  </w:num>
  <w:num w:numId="3" w16cid:durableId="147018404">
    <w:abstractNumId w:val="6"/>
  </w:num>
  <w:num w:numId="4" w16cid:durableId="450779647">
    <w:abstractNumId w:val="2"/>
  </w:num>
  <w:num w:numId="5" w16cid:durableId="339161953">
    <w:abstractNumId w:val="9"/>
  </w:num>
  <w:num w:numId="6" w16cid:durableId="1406683410">
    <w:abstractNumId w:val="3"/>
  </w:num>
  <w:num w:numId="7" w16cid:durableId="1279290586">
    <w:abstractNumId w:val="8"/>
  </w:num>
  <w:num w:numId="8" w16cid:durableId="2054113236">
    <w:abstractNumId w:val="1"/>
  </w:num>
  <w:num w:numId="9" w16cid:durableId="686714855">
    <w:abstractNumId w:val="5"/>
  </w:num>
  <w:num w:numId="10" w16cid:durableId="1351488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03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B69"/>
    <w:rsid w:val="000061C4"/>
    <w:rsid w:val="000248A2"/>
    <w:rsid w:val="000355B1"/>
    <w:rsid w:val="0005332C"/>
    <w:rsid w:val="00053D86"/>
    <w:rsid w:val="00071F1D"/>
    <w:rsid w:val="000A1F18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373B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37CA8"/>
    <w:rsid w:val="00961DE7"/>
    <w:rsid w:val="00971280"/>
    <w:rsid w:val="00973911"/>
    <w:rsid w:val="009B7A6B"/>
    <w:rsid w:val="009D2679"/>
    <w:rsid w:val="009F3021"/>
    <w:rsid w:val="00A26AD8"/>
    <w:rsid w:val="00A51B8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C35F8"/>
    <w:rsid w:val="00BD3D6C"/>
    <w:rsid w:val="00BE0219"/>
    <w:rsid w:val="00BE192F"/>
    <w:rsid w:val="00BF7732"/>
    <w:rsid w:val="00C41E43"/>
    <w:rsid w:val="00C433AE"/>
    <w:rsid w:val="00C66075"/>
    <w:rsid w:val="00C80830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  <w:style w:type="character" w:styleId="ab">
    <w:name w:val="Hyperlink"/>
    <w:basedOn w:val="a0"/>
    <w:uiPriority w:val="99"/>
    <w:unhideWhenUsed/>
    <w:rsid w:val="00FD12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cso.gov.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29</cp:revision>
  <cp:lastPrinted>2026-06-10T13:13:00Z</cp:lastPrinted>
  <dcterms:created xsi:type="dcterms:W3CDTF">2023-06-20T06:24:00Z</dcterms:created>
  <dcterms:modified xsi:type="dcterms:W3CDTF">2026-06-10T13:13:00Z</dcterms:modified>
</cp:coreProperties>
</file>